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464A4920">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1055038F">
      <w:pPr>
        <w:spacing w:before="156" w:line="366" w:lineRule="auto"/>
        <w:ind w:left="1966" w:right="713" w:hanging="1221"/>
        <w:jc w:val="center"/>
        <w:rPr>
          <w:rFonts w:ascii="仿宋" w:hAnsi="仿宋" w:eastAsia="仿宋" w:cs="仿宋"/>
          <w:sz w:val="48"/>
          <w:szCs w:val="48"/>
        </w:rPr>
      </w:pPr>
      <w:r>
        <w:rPr>
          <w:rFonts w:hint="eastAsia" w:ascii="仿宋" w:hAnsi="仿宋" w:eastAsia="仿宋" w:cs="仿宋"/>
          <w:spacing w:val="-1"/>
          <w:sz w:val="52"/>
          <w:szCs w:val="52"/>
          <w:lang w:val="en-US" w:eastAsia="zh-CN"/>
          <w14:textOutline w14:w="6096" w14:cap="flat" w14:cmpd="sng">
            <w14:solidFill>
              <w14:srgbClr w14:val="000000"/>
            </w14:solidFill>
            <w14:prstDash w14:val="solid"/>
            <w14:miter w14:val="0"/>
          </w14:textOutline>
        </w:rPr>
        <w:t>400吨麸皮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131808E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34409A4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SKY-CG-FP-20250814</w:t>
      </w:r>
    </w:p>
    <w:p w14:paraId="333CCD53">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1D9649B9">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3A3EA77F">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083E938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400吨麸皮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根据圣康源月计划进行供货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400吨麸皮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1BEAA50">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67CE4AF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360" w:lineRule="auto"/>
        <w:jc w:val="both"/>
        <w:textAlignment w:val="baseline"/>
        <w:rPr>
          <w:rFonts w:hint="eastAsia" w:ascii="仿宋" w:hAnsi="仿宋" w:eastAsia="仿宋" w:cs="仿宋"/>
          <w:b/>
          <w:sz w:val="32"/>
          <w:szCs w:val="32"/>
          <w:lang w:val="en-US" w:eastAsia="zh-CN"/>
        </w:rPr>
      </w:pPr>
      <w:r>
        <w:rPr>
          <w:rFonts w:hint="eastAsia" w:ascii="仿宋" w:hAnsi="仿宋" w:eastAsia="仿宋" w:cs="仿宋"/>
          <w:b/>
          <w:sz w:val="32"/>
          <w:szCs w:val="32"/>
        </w:rPr>
        <w:t>麸皮（小麦麸）</w:t>
      </w:r>
    </w:p>
    <w:p w14:paraId="0374FC24">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5423988F">
      <w:pPr>
        <w:spacing w:before="2"/>
        <w:ind w:right="0" w:firstLine="240" w:firstLineChars="100"/>
        <w:jc w:val="left"/>
        <w:rPr>
          <w:rFonts w:hint="eastAsia" w:ascii="仿宋" w:hAnsi="仿宋" w:eastAsia="仿宋" w:cs="仿宋"/>
          <w:b w:val="0"/>
          <w:bCs/>
          <w:sz w:val="24"/>
        </w:rPr>
      </w:pPr>
      <w:r>
        <w:rPr>
          <w:rFonts w:hint="eastAsia" w:ascii="仿宋" w:hAnsi="仿宋" w:eastAsia="仿宋" w:cs="仿宋"/>
          <w:b w:val="0"/>
          <w:bCs/>
          <w:sz w:val="24"/>
        </w:rPr>
        <w:t>淡褐色至红棕色，随小麦品种、品质而有差异。不得掺入小麦麸以外的物质， 有粗麸皮和细麸皮，粗麸皮呈片状；细麸皮呈细片状。无虫蛀、发热、结块等异常现象。小麦特有的香甜味，不可有酸味、发霉味等异常气味。</w:t>
      </w:r>
    </w:p>
    <w:p w14:paraId="48302D1B">
      <w:pPr>
        <w:spacing w:before="2"/>
        <w:ind w:right="0"/>
        <w:jc w:val="left"/>
        <w:rPr>
          <w:rFonts w:hint="eastAsia" w:ascii="仿宋" w:hAnsi="仿宋" w:eastAsia="仿宋" w:cs="仿宋"/>
          <w:b/>
          <w:sz w:val="24"/>
        </w:rPr>
      </w:pPr>
      <w:r>
        <w:rPr>
          <w:rFonts w:hint="eastAsia" w:ascii="仿宋" w:hAnsi="仿宋" w:eastAsia="仿宋" w:cs="仿宋"/>
          <w:b/>
          <w:sz w:val="24"/>
        </w:rPr>
        <w:t>2、技术指标</w:t>
      </w:r>
    </w:p>
    <w:tbl>
      <w:tblPr>
        <w:tblStyle w:val="4"/>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9"/>
        <w:gridCol w:w="3120"/>
        <w:gridCol w:w="1275"/>
        <w:gridCol w:w="1144"/>
        <w:gridCol w:w="1361"/>
        <w:gridCol w:w="1096"/>
      </w:tblGrid>
      <w:tr w14:paraId="67145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4229" w:type="dxa"/>
            <w:gridSpan w:val="2"/>
          </w:tcPr>
          <w:p w14:paraId="613316DF">
            <w:pPr>
              <w:pStyle w:val="9"/>
              <w:spacing w:before="119"/>
              <w:ind w:left="1710" w:right="1898"/>
              <w:jc w:val="center"/>
              <w:rPr>
                <w:rFonts w:hint="eastAsia" w:ascii="仿宋" w:hAnsi="仿宋" w:eastAsia="仿宋" w:cs="仿宋"/>
                <w:b/>
                <w:sz w:val="20"/>
                <w:szCs w:val="22"/>
              </w:rPr>
            </w:pPr>
            <w:r>
              <w:rPr>
                <w:rFonts w:hint="eastAsia" w:ascii="仿宋" w:hAnsi="仿宋" w:eastAsia="仿宋" w:cs="仿宋"/>
                <w:b/>
                <w:sz w:val="20"/>
                <w:szCs w:val="22"/>
              </w:rPr>
              <w:t>项 目</w:t>
            </w:r>
          </w:p>
        </w:tc>
        <w:tc>
          <w:tcPr>
            <w:tcW w:w="1275" w:type="dxa"/>
          </w:tcPr>
          <w:p w14:paraId="7C17AF13">
            <w:pPr>
              <w:pStyle w:val="9"/>
              <w:spacing w:before="119"/>
              <w:ind w:left="412" w:right="391"/>
              <w:jc w:val="center"/>
              <w:rPr>
                <w:rFonts w:hint="eastAsia" w:ascii="仿宋" w:hAnsi="仿宋" w:eastAsia="仿宋" w:cs="仿宋"/>
                <w:b/>
                <w:sz w:val="20"/>
                <w:szCs w:val="22"/>
              </w:rPr>
            </w:pPr>
            <w:r>
              <w:rPr>
                <w:rFonts w:hint="eastAsia" w:ascii="仿宋" w:hAnsi="仿宋" w:eastAsia="仿宋" w:cs="仿宋"/>
                <w:b/>
                <w:sz w:val="20"/>
                <w:szCs w:val="22"/>
              </w:rPr>
              <w:t>一级</w:t>
            </w:r>
          </w:p>
        </w:tc>
        <w:tc>
          <w:tcPr>
            <w:tcW w:w="1144" w:type="dxa"/>
          </w:tcPr>
          <w:p w14:paraId="63CA2B59">
            <w:pPr>
              <w:pStyle w:val="9"/>
              <w:spacing w:before="119"/>
              <w:ind w:right="420" w:firstLine="201" w:firstLineChars="100"/>
              <w:jc w:val="both"/>
              <w:rPr>
                <w:rFonts w:hint="eastAsia" w:ascii="仿宋" w:hAnsi="仿宋" w:eastAsia="仿宋" w:cs="仿宋"/>
                <w:b/>
                <w:sz w:val="20"/>
                <w:szCs w:val="22"/>
              </w:rPr>
            </w:pPr>
            <w:r>
              <w:rPr>
                <w:rFonts w:hint="eastAsia" w:ascii="仿宋" w:hAnsi="仿宋" w:eastAsia="仿宋" w:cs="仿宋"/>
                <w:b/>
                <w:sz w:val="20"/>
                <w:szCs w:val="22"/>
              </w:rPr>
              <w:t>二级</w:t>
            </w:r>
          </w:p>
        </w:tc>
        <w:tc>
          <w:tcPr>
            <w:tcW w:w="1361" w:type="dxa"/>
          </w:tcPr>
          <w:p w14:paraId="33CAFE70">
            <w:pPr>
              <w:pStyle w:val="9"/>
              <w:spacing w:before="119"/>
              <w:ind w:left="419"/>
              <w:rPr>
                <w:rFonts w:hint="eastAsia" w:ascii="仿宋" w:hAnsi="仿宋" w:eastAsia="仿宋" w:cs="仿宋"/>
                <w:b/>
                <w:sz w:val="20"/>
                <w:szCs w:val="22"/>
              </w:rPr>
            </w:pPr>
            <w:r>
              <w:rPr>
                <w:rFonts w:hint="eastAsia" w:ascii="仿宋" w:hAnsi="仿宋" w:eastAsia="仿宋" w:cs="仿宋"/>
                <w:b/>
                <w:sz w:val="20"/>
                <w:szCs w:val="22"/>
              </w:rPr>
              <w:t>退货值</w:t>
            </w:r>
          </w:p>
        </w:tc>
        <w:tc>
          <w:tcPr>
            <w:tcW w:w="1096" w:type="dxa"/>
          </w:tcPr>
          <w:p w14:paraId="04E825D6">
            <w:pPr>
              <w:pStyle w:val="9"/>
              <w:spacing w:before="119"/>
              <w:ind w:right="160"/>
              <w:jc w:val="both"/>
              <w:rPr>
                <w:rFonts w:hint="eastAsia" w:ascii="仿宋" w:hAnsi="仿宋" w:eastAsia="仿宋" w:cs="仿宋"/>
                <w:b/>
                <w:sz w:val="20"/>
                <w:szCs w:val="22"/>
              </w:rPr>
            </w:pPr>
            <w:r>
              <w:rPr>
                <w:rFonts w:hint="eastAsia" w:ascii="仿宋" w:hAnsi="仿宋" w:eastAsia="仿宋" w:cs="仿宋"/>
                <w:b/>
                <w:sz w:val="20"/>
                <w:szCs w:val="22"/>
              </w:rPr>
              <w:t>检验要求</w:t>
            </w:r>
          </w:p>
        </w:tc>
      </w:tr>
      <w:tr w14:paraId="1E0F8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1109" w:type="dxa"/>
            <w:vMerge w:val="restart"/>
          </w:tcPr>
          <w:p w14:paraId="06DBA3C9">
            <w:pPr>
              <w:pStyle w:val="9"/>
              <w:rPr>
                <w:rFonts w:hint="eastAsia" w:ascii="仿宋" w:hAnsi="仿宋" w:eastAsia="仿宋" w:cs="仿宋"/>
                <w:sz w:val="20"/>
                <w:szCs w:val="22"/>
              </w:rPr>
            </w:pPr>
          </w:p>
          <w:p w14:paraId="7446333C">
            <w:pPr>
              <w:pStyle w:val="9"/>
              <w:rPr>
                <w:rFonts w:hint="eastAsia" w:ascii="仿宋" w:hAnsi="仿宋" w:eastAsia="仿宋" w:cs="仿宋"/>
                <w:sz w:val="20"/>
                <w:szCs w:val="22"/>
              </w:rPr>
            </w:pPr>
          </w:p>
          <w:p w14:paraId="66D0AD5F">
            <w:pPr>
              <w:pStyle w:val="9"/>
              <w:spacing w:before="138"/>
              <w:ind w:left="266"/>
              <w:rPr>
                <w:rFonts w:hint="eastAsia" w:ascii="仿宋" w:hAnsi="仿宋" w:eastAsia="仿宋" w:cs="仿宋"/>
                <w:sz w:val="20"/>
                <w:szCs w:val="22"/>
              </w:rPr>
            </w:pPr>
            <w:r>
              <w:rPr>
                <w:rFonts w:hint="eastAsia" w:ascii="仿宋" w:hAnsi="仿宋" w:eastAsia="仿宋" w:cs="仿宋"/>
                <w:sz w:val="20"/>
                <w:szCs w:val="22"/>
              </w:rPr>
              <w:t>风险指标</w:t>
            </w:r>
          </w:p>
        </w:tc>
        <w:tc>
          <w:tcPr>
            <w:tcW w:w="3120" w:type="dxa"/>
          </w:tcPr>
          <w:p w14:paraId="4DAA74AD">
            <w:pPr>
              <w:pStyle w:val="9"/>
              <w:spacing w:before="122"/>
              <w:ind w:left="112"/>
              <w:rPr>
                <w:rFonts w:hint="eastAsia" w:ascii="仿宋" w:hAnsi="仿宋" w:eastAsia="仿宋" w:cs="仿宋"/>
                <w:sz w:val="20"/>
                <w:szCs w:val="22"/>
              </w:rPr>
            </w:pPr>
            <w:r>
              <w:rPr>
                <w:rFonts w:hint="eastAsia" w:ascii="仿宋" w:hAnsi="仿宋" w:eastAsia="仿宋" w:cs="仿宋"/>
                <w:sz w:val="20"/>
                <w:szCs w:val="22"/>
              </w:rPr>
              <w:t>三聚氰胺（mg/kg</w:t>
            </w:r>
            <w:r>
              <w:rPr>
                <w:rFonts w:hint="eastAsia" w:ascii="仿宋" w:hAnsi="仿宋" w:eastAsia="仿宋" w:cs="仿宋"/>
                <w:sz w:val="20"/>
                <w:szCs w:val="22"/>
                <w:lang w:eastAsia="zh-CN"/>
              </w:rPr>
              <w:t>）</w:t>
            </w:r>
          </w:p>
        </w:tc>
        <w:tc>
          <w:tcPr>
            <w:tcW w:w="2419" w:type="dxa"/>
            <w:gridSpan w:val="2"/>
          </w:tcPr>
          <w:p w14:paraId="071315DA">
            <w:pPr>
              <w:pStyle w:val="9"/>
              <w:spacing w:before="122"/>
              <w:ind w:left="937" w:right="913"/>
              <w:jc w:val="center"/>
              <w:rPr>
                <w:rFonts w:hint="eastAsia" w:ascii="仿宋" w:hAnsi="仿宋" w:eastAsia="仿宋" w:cs="仿宋"/>
                <w:sz w:val="20"/>
                <w:szCs w:val="22"/>
              </w:rPr>
            </w:pPr>
            <w:r>
              <w:rPr>
                <w:rFonts w:hint="eastAsia" w:ascii="仿宋" w:hAnsi="仿宋" w:eastAsia="仿宋" w:cs="仿宋"/>
                <w:sz w:val="20"/>
                <w:szCs w:val="22"/>
              </w:rPr>
              <w:t>≤2</w:t>
            </w:r>
          </w:p>
        </w:tc>
        <w:tc>
          <w:tcPr>
            <w:tcW w:w="1361" w:type="dxa"/>
          </w:tcPr>
          <w:p w14:paraId="0064ABAB">
            <w:pPr>
              <w:pStyle w:val="9"/>
              <w:spacing w:before="119"/>
              <w:ind w:left="464" w:right="442"/>
              <w:jc w:val="center"/>
              <w:rPr>
                <w:rFonts w:hint="eastAsia" w:ascii="仿宋" w:hAnsi="仿宋" w:eastAsia="仿宋" w:cs="仿宋"/>
                <w:sz w:val="20"/>
                <w:szCs w:val="22"/>
              </w:rPr>
            </w:pPr>
            <w:r>
              <w:rPr>
                <w:rFonts w:hint="eastAsia" w:ascii="仿宋" w:hAnsi="仿宋" w:eastAsia="仿宋" w:cs="仿宋"/>
                <w:sz w:val="20"/>
                <w:szCs w:val="22"/>
              </w:rPr>
              <w:t>＞2</w:t>
            </w:r>
          </w:p>
        </w:tc>
        <w:tc>
          <w:tcPr>
            <w:tcW w:w="1096" w:type="dxa"/>
          </w:tcPr>
          <w:p w14:paraId="35125E51">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4B729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109" w:type="dxa"/>
            <w:vMerge w:val="continue"/>
            <w:tcBorders>
              <w:top w:val="nil"/>
            </w:tcBorders>
          </w:tcPr>
          <w:p w14:paraId="4A11C030">
            <w:pPr>
              <w:rPr>
                <w:rFonts w:hint="eastAsia" w:ascii="仿宋" w:hAnsi="仿宋" w:eastAsia="仿宋" w:cs="仿宋"/>
                <w:sz w:val="4"/>
                <w:szCs w:val="4"/>
              </w:rPr>
            </w:pPr>
          </w:p>
        </w:tc>
        <w:tc>
          <w:tcPr>
            <w:tcW w:w="3120" w:type="dxa"/>
          </w:tcPr>
          <w:p w14:paraId="118A6FA3">
            <w:pPr>
              <w:pStyle w:val="9"/>
              <w:spacing w:before="122"/>
              <w:ind w:left="112"/>
              <w:rPr>
                <w:rFonts w:hint="eastAsia" w:ascii="仿宋" w:hAnsi="仿宋" w:eastAsia="仿宋" w:cs="仿宋"/>
                <w:sz w:val="20"/>
                <w:szCs w:val="22"/>
              </w:rPr>
            </w:pPr>
            <w:r>
              <w:rPr>
                <w:rFonts w:hint="eastAsia" w:ascii="仿宋" w:hAnsi="仿宋" w:eastAsia="仿宋" w:cs="仿宋"/>
                <w:sz w:val="20"/>
                <w:szCs w:val="22"/>
              </w:rPr>
              <w:t>黄曲霉毒素B1（μg/kg</w:t>
            </w:r>
            <w:r>
              <w:rPr>
                <w:rFonts w:hint="eastAsia" w:ascii="仿宋" w:hAnsi="仿宋" w:eastAsia="仿宋" w:cs="仿宋"/>
                <w:sz w:val="20"/>
                <w:szCs w:val="22"/>
                <w:lang w:eastAsia="zh-CN"/>
              </w:rPr>
              <w:t>）</w:t>
            </w:r>
          </w:p>
        </w:tc>
        <w:tc>
          <w:tcPr>
            <w:tcW w:w="2419" w:type="dxa"/>
            <w:gridSpan w:val="2"/>
          </w:tcPr>
          <w:p w14:paraId="7CED5160">
            <w:pPr>
              <w:pStyle w:val="9"/>
              <w:spacing w:before="122"/>
              <w:ind w:left="937" w:right="913"/>
              <w:jc w:val="center"/>
              <w:rPr>
                <w:rFonts w:hint="eastAsia" w:ascii="仿宋" w:hAnsi="仿宋" w:eastAsia="仿宋" w:cs="仿宋"/>
                <w:sz w:val="20"/>
                <w:szCs w:val="22"/>
              </w:rPr>
            </w:pPr>
            <w:r>
              <w:rPr>
                <w:rFonts w:hint="eastAsia" w:ascii="仿宋" w:hAnsi="仿宋" w:eastAsia="仿宋" w:cs="仿宋"/>
                <w:sz w:val="20"/>
                <w:szCs w:val="22"/>
              </w:rPr>
              <w:t>≤5</w:t>
            </w:r>
          </w:p>
        </w:tc>
        <w:tc>
          <w:tcPr>
            <w:tcW w:w="1361" w:type="dxa"/>
          </w:tcPr>
          <w:p w14:paraId="56AE80F1">
            <w:pPr>
              <w:pStyle w:val="9"/>
              <w:spacing w:before="120"/>
              <w:ind w:left="464" w:right="442"/>
              <w:jc w:val="center"/>
              <w:rPr>
                <w:rFonts w:hint="eastAsia" w:ascii="仿宋" w:hAnsi="仿宋" w:eastAsia="仿宋" w:cs="仿宋"/>
                <w:sz w:val="20"/>
                <w:szCs w:val="22"/>
              </w:rPr>
            </w:pPr>
            <w:r>
              <w:rPr>
                <w:rFonts w:hint="eastAsia" w:ascii="仿宋" w:hAnsi="仿宋" w:eastAsia="仿宋" w:cs="仿宋"/>
                <w:sz w:val="20"/>
                <w:szCs w:val="22"/>
              </w:rPr>
              <w:t>＞5</w:t>
            </w:r>
          </w:p>
        </w:tc>
        <w:tc>
          <w:tcPr>
            <w:tcW w:w="1096" w:type="dxa"/>
          </w:tcPr>
          <w:p w14:paraId="715E38F5">
            <w:pPr>
              <w:pStyle w:val="9"/>
              <w:spacing w:before="120"/>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71C9D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109" w:type="dxa"/>
            <w:vMerge w:val="continue"/>
            <w:tcBorders>
              <w:top w:val="nil"/>
            </w:tcBorders>
          </w:tcPr>
          <w:p w14:paraId="07B34C61">
            <w:pPr>
              <w:rPr>
                <w:rFonts w:hint="eastAsia" w:ascii="仿宋" w:hAnsi="仿宋" w:eastAsia="仿宋" w:cs="仿宋"/>
                <w:sz w:val="4"/>
                <w:szCs w:val="4"/>
              </w:rPr>
            </w:pPr>
          </w:p>
        </w:tc>
        <w:tc>
          <w:tcPr>
            <w:tcW w:w="3120" w:type="dxa"/>
          </w:tcPr>
          <w:p w14:paraId="3F872214">
            <w:pPr>
              <w:pStyle w:val="9"/>
              <w:spacing w:before="119"/>
              <w:rPr>
                <w:rFonts w:hint="eastAsia" w:ascii="仿宋" w:hAnsi="仿宋" w:eastAsia="仿宋" w:cs="仿宋"/>
                <w:sz w:val="20"/>
                <w:szCs w:val="22"/>
              </w:rPr>
            </w:pPr>
            <w:r>
              <w:rPr>
                <w:rFonts w:hint="eastAsia" w:ascii="仿宋" w:hAnsi="仿宋" w:eastAsia="仿宋" w:cs="仿宋"/>
                <w:sz w:val="20"/>
                <w:szCs w:val="22"/>
              </w:rPr>
              <w:t>脱氧雪腐镰刀菌烯醇（呕吐毒素）</w:t>
            </w:r>
          </w:p>
        </w:tc>
        <w:tc>
          <w:tcPr>
            <w:tcW w:w="2419" w:type="dxa"/>
            <w:gridSpan w:val="2"/>
          </w:tcPr>
          <w:p w14:paraId="63836F26">
            <w:pPr>
              <w:pStyle w:val="9"/>
              <w:spacing w:before="119"/>
              <w:ind w:left="937" w:right="913"/>
              <w:jc w:val="center"/>
              <w:rPr>
                <w:rFonts w:hint="eastAsia" w:ascii="仿宋" w:hAnsi="仿宋" w:eastAsia="仿宋" w:cs="仿宋"/>
                <w:sz w:val="20"/>
                <w:szCs w:val="22"/>
              </w:rPr>
            </w:pPr>
            <w:r>
              <w:rPr>
                <w:rFonts w:hint="eastAsia" w:ascii="仿宋" w:hAnsi="仿宋" w:eastAsia="仿宋" w:cs="仿宋"/>
                <w:sz w:val="20"/>
                <w:szCs w:val="22"/>
              </w:rPr>
              <w:t>≤5</w:t>
            </w:r>
          </w:p>
        </w:tc>
        <w:tc>
          <w:tcPr>
            <w:tcW w:w="1361" w:type="dxa"/>
          </w:tcPr>
          <w:p w14:paraId="0AD80D8D">
            <w:pPr>
              <w:pStyle w:val="9"/>
              <w:spacing w:before="119"/>
              <w:ind w:left="464" w:right="442"/>
              <w:jc w:val="center"/>
              <w:rPr>
                <w:rFonts w:hint="eastAsia" w:ascii="仿宋" w:hAnsi="仿宋" w:eastAsia="仿宋" w:cs="仿宋"/>
                <w:sz w:val="20"/>
                <w:szCs w:val="22"/>
              </w:rPr>
            </w:pPr>
            <w:r>
              <w:rPr>
                <w:rFonts w:hint="eastAsia" w:ascii="仿宋" w:hAnsi="仿宋" w:eastAsia="仿宋" w:cs="仿宋"/>
                <w:sz w:val="20"/>
                <w:szCs w:val="22"/>
              </w:rPr>
              <w:t>＞5</w:t>
            </w:r>
          </w:p>
        </w:tc>
        <w:tc>
          <w:tcPr>
            <w:tcW w:w="1096" w:type="dxa"/>
          </w:tcPr>
          <w:p w14:paraId="7B1D8D04">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抽检</w:t>
            </w:r>
          </w:p>
        </w:tc>
      </w:tr>
      <w:tr w14:paraId="6378D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109" w:type="dxa"/>
            <w:vMerge w:val="restart"/>
          </w:tcPr>
          <w:p w14:paraId="3A8BAB23">
            <w:pPr>
              <w:pStyle w:val="9"/>
              <w:rPr>
                <w:rFonts w:hint="eastAsia" w:ascii="仿宋" w:hAnsi="仿宋" w:eastAsia="仿宋" w:cs="仿宋"/>
                <w:sz w:val="20"/>
                <w:szCs w:val="22"/>
              </w:rPr>
            </w:pPr>
          </w:p>
          <w:p w14:paraId="0F5A7132">
            <w:pPr>
              <w:pStyle w:val="9"/>
              <w:rPr>
                <w:rFonts w:hint="eastAsia" w:ascii="仿宋" w:hAnsi="仿宋" w:eastAsia="仿宋" w:cs="仿宋"/>
                <w:sz w:val="20"/>
                <w:szCs w:val="22"/>
              </w:rPr>
            </w:pPr>
          </w:p>
          <w:p w14:paraId="04EEDF7B">
            <w:pPr>
              <w:pStyle w:val="9"/>
              <w:rPr>
                <w:rFonts w:hint="eastAsia" w:ascii="仿宋" w:hAnsi="仿宋" w:eastAsia="仿宋" w:cs="仿宋"/>
                <w:sz w:val="20"/>
                <w:szCs w:val="22"/>
              </w:rPr>
            </w:pPr>
          </w:p>
          <w:p w14:paraId="771F07F4">
            <w:pPr>
              <w:pStyle w:val="9"/>
              <w:rPr>
                <w:rFonts w:hint="eastAsia" w:ascii="仿宋" w:hAnsi="仿宋" w:eastAsia="仿宋" w:cs="仿宋"/>
                <w:sz w:val="20"/>
                <w:szCs w:val="22"/>
              </w:rPr>
            </w:pPr>
          </w:p>
          <w:p w14:paraId="0289B712">
            <w:pPr>
              <w:pStyle w:val="9"/>
              <w:rPr>
                <w:rFonts w:hint="eastAsia" w:ascii="仿宋" w:hAnsi="仿宋" w:eastAsia="仿宋" w:cs="仿宋"/>
                <w:sz w:val="20"/>
                <w:szCs w:val="22"/>
              </w:rPr>
            </w:pPr>
          </w:p>
          <w:p w14:paraId="446DDCCC">
            <w:pPr>
              <w:pStyle w:val="9"/>
              <w:rPr>
                <w:rFonts w:hint="eastAsia" w:ascii="仿宋" w:hAnsi="仿宋" w:eastAsia="仿宋" w:cs="仿宋"/>
                <w:sz w:val="20"/>
                <w:szCs w:val="22"/>
              </w:rPr>
            </w:pPr>
          </w:p>
          <w:p w14:paraId="7F004C56">
            <w:pPr>
              <w:pStyle w:val="9"/>
              <w:spacing w:before="8"/>
              <w:rPr>
                <w:rFonts w:hint="eastAsia" w:ascii="仿宋" w:hAnsi="仿宋" w:eastAsia="仿宋" w:cs="仿宋"/>
                <w:sz w:val="16"/>
                <w:szCs w:val="22"/>
              </w:rPr>
            </w:pPr>
          </w:p>
          <w:p w14:paraId="0638CE13">
            <w:pPr>
              <w:pStyle w:val="9"/>
              <w:ind w:left="266"/>
              <w:rPr>
                <w:rFonts w:hint="eastAsia" w:ascii="仿宋" w:hAnsi="仿宋" w:eastAsia="仿宋" w:cs="仿宋"/>
                <w:sz w:val="20"/>
                <w:szCs w:val="22"/>
              </w:rPr>
            </w:pPr>
            <w:r>
              <w:rPr>
                <w:rFonts w:hint="eastAsia" w:ascii="仿宋" w:hAnsi="仿宋" w:eastAsia="仿宋" w:cs="仿宋"/>
                <w:sz w:val="20"/>
                <w:szCs w:val="22"/>
              </w:rPr>
              <w:t>理化指标</w:t>
            </w:r>
          </w:p>
        </w:tc>
        <w:tc>
          <w:tcPr>
            <w:tcW w:w="3120" w:type="dxa"/>
          </w:tcPr>
          <w:p w14:paraId="6B5409D2">
            <w:pPr>
              <w:pStyle w:val="9"/>
              <w:spacing w:before="120"/>
              <w:ind w:left="112"/>
              <w:rPr>
                <w:rFonts w:hint="eastAsia" w:ascii="仿宋" w:hAnsi="仿宋" w:eastAsia="仿宋" w:cs="仿宋"/>
                <w:sz w:val="20"/>
                <w:szCs w:val="22"/>
              </w:rPr>
            </w:pPr>
            <w:r>
              <w:rPr>
                <w:rFonts w:hint="eastAsia" w:ascii="仿宋" w:hAnsi="仿宋" w:eastAsia="仿宋" w:cs="仿宋"/>
                <w:sz w:val="20"/>
                <w:szCs w:val="22"/>
              </w:rPr>
              <w:t>水分（%）</w:t>
            </w:r>
          </w:p>
        </w:tc>
        <w:tc>
          <w:tcPr>
            <w:tcW w:w="2419" w:type="dxa"/>
            <w:gridSpan w:val="2"/>
          </w:tcPr>
          <w:p w14:paraId="0C6B48C0">
            <w:pPr>
              <w:pStyle w:val="9"/>
              <w:spacing w:before="120"/>
              <w:ind w:left="791" w:right="913"/>
              <w:jc w:val="center"/>
              <w:rPr>
                <w:rFonts w:hint="eastAsia" w:ascii="仿宋" w:hAnsi="仿宋" w:eastAsia="仿宋" w:cs="仿宋"/>
                <w:sz w:val="20"/>
                <w:szCs w:val="22"/>
              </w:rPr>
            </w:pPr>
            <w:r>
              <w:rPr>
                <w:rFonts w:hint="eastAsia" w:ascii="仿宋" w:hAnsi="仿宋" w:eastAsia="仿宋" w:cs="仿宋"/>
                <w:sz w:val="20"/>
                <w:szCs w:val="22"/>
              </w:rPr>
              <w:t>≤13</w:t>
            </w:r>
          </w:p>
        </w:tc>
        <w:tc>
          <w:tcPr>
            <w:tcW w:w="1361" w:type="dxa"/>
          </w:tcPr>
          <w:p w14:paraId="6579F545">
            <w:pPr>
              <w:pStyle w:val="9"/>
              <w:spacing w:before="120"/>
              <w:ind w:left="464" w:right="440"/>
              <w:jc w:val="center"/>
              <w:rPr>
                <w:rFonts w:hint="eastAsia" w:ascii="仿宋" w:hAnsi="仿宋" w:eastAsia="仿宋" w:cs="仿宋"/>
                <w:sz w:val="20"/>
                <w:szCs w:val="22"/>
              </w:rPr>
            </w:pPr>
            <w:r>
              <w:rPr>
                <w:rFonts w:hint="eastAsia" w:ascii="仿宋" w:hAnsi="仿宋" w:eastAsia="仿宋" w:cs="仿宋"/>
                <w:sz w:val="20"/>
                <w:szCs w:val="22"/>
              </w:rPr>
              <w:t>＞15</w:t>
            </w:r>
          </w:p>
        </w:tc>
        <w:tc>
          <w:tcPr>
            <w:tcW w:w="1096" w:type="dxa"/>
          </w:tcPr>
          <w:p w14:paraId="4BC4AB1B">
            <w:pPr>
              <w:pStyle w:val="9"/>
              <w:spacing w:before="120"/>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6CE7C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1109" w:type="dxa"/>
            <w:vMerge w:val="continue"/>
            <w:tcBorders>
              <w:top w:val="nil"/>
            </w:tcBorders>
          </w:tcPr>
          <w:p w14:paraId="50D626D3">
            <w:pPr>
              <w:rPr>
                <w:rFonts w:hint="eastAsia" w:ascii="仿宋" w:hAnsi="仿宋" w:eastAsia="仿宋" w:cs="仿宋"/>
                <w:sz w:val="4"/>
                <w:szCs w:val="4"/>
              </w:rPr>
            </w:pPr>
          </w:p>
        </w:tc>
        <w:tc>
          <w:tcPr>
            <w:tcW w:w="3120" w:type="dxa"/>
          </w:tcPr>
          <w:p w14:paraId="37FB382E">
            <w:pPr>
              <w:pStyle w:val="9"/>
              <w:spacing w:before="120"/>
              <w:ind w:left="112"/>
              <w:rPr>
                <w:rFonts w:hint="eastAsia" w:ascii="仿宋" w:hAnsi="仿宋" w:eastAsia="仿宋" w:cs="仿宋"/>
                <w:sz w:val="20"/>
                <w:szCs w:val="22"/>
              </w:rPr>
            </w:pPr>
            <w:r>
              <w:rPr>
                <w:rFonts w:hint="eastAsia" w:ascii="仿宋" w:hAnsi="仿宋" w:eastAsia="仿宋" w:cs="仿宋"/>
                <w:sz w:val="20"/>
                <w:szCs w:val="22"/>
              </w:rPr>
              <w:t>粗蛋白（%）</w:t>
            </w:r>
          </w:p>
        </w:tc>
        <w:tc>
          <w:tcPr>
            <w:tcW w:w="1275" w:type="dxa"/>
          </w:tcPr>
          <w:p w14:paraId="23426F9D">
            <w:pPr>
              <w:pStyle w:val="9"/>
              <w:spacing w:before="120"/>
              <w:ind w:left="371" w:right="391"/>
              <w:jc w:val="center"/>
              <w:rPr>
                <w:rFonts w:hint="eastAsia" w:ascii="仿宋" w:hAnsi="仿宋" w:eastAsia="仿宋" w:cs="仿宋"/>
                <w:sz w:val="20"/>
                <w:szCs w:val="22"/>
              </w:rPr>
            </w:pPr>
            <w:r>
              <w:rPr>
                <w:rFonts w:hint="eastAsia" w:ascii="仿宋" w:hAnsi="仿宋" w:eastAsia="仿宋" w:cs="仿宋"/>
                <w:sz w:val="20"/>
                <w:szCs w:val="22"/>
              </w:rPr>
              <w:t>≥15</w:t>
            </w:r>
          </w:p>
        </w:tc>
        <w:tc>
          <w:tcPr>
            <w:tcW w:w="1144" w:type="dxa"/>
          </w:tcPr>
          <w:p w14:paraId="5CC2A562">
            <w:pPr>
              <w:pStyle w:val="9"/>
              <w:spacing w:before="120"/>
              <w:ind w:right="417" w:firstLine="200" w:firstLineChars="100"/>
              <w:jc w:val="both"/>
              <w:rPr>
                <w:rFonts w:hint="eastAsia" w:ascii="仿宋" w:hAnsi="仿宋" w:eastAsia="仿宋" w:cs="仿宋"/>
                <w:sz w:val="20"/>
                <w:szCs w:val="22"/>
              </w:rPr>
            </w:pPr>
            <w:r>
              <w:rPr>
                <w:rFonts w:hint="eastAsia" w:ascii="仿宋" w:hAnsi="仿宋" w:eastAsia="仿宋" w:cs="仿宋"/>
                <w:sz w:val="20"/>
                <w:szCs w:val="22"/>
              </w:rPr>
              <w:t>≥13</w:t>
            </w:r>
          </w:p>
        </w:tc>
        <w:tc>
          <w:tcPr>
            <w:tcW w:w="1361" w:type="dxa"/>
          </w:tcPr>
          <w:p w14:paraId="68A65BA3">
            <w:pPr>
              <w:pStyle w:val="9"/>
              <w:spacing w:before="120"/>
              <w:ind w:left="184"/>
              <w:rPr>
                <w:rFonts w:hint="eastAsia" w:ascii="仿宋" w:hAnsi="仿宋" w:eastAsia="仿宋" w:cs="仿宋"/>
                <w:sz w:val="20"/>
                <w:szCs w:val="22"/>
              </w:rPr>
            </w:pPr>
            <w:r>
              <w:rPr>
                <w:rFonts w:hint="eastAsia" w:ascii="仿宋" w:hAnsi="仿宋" w:eastAsia="仿宋" w:cs="仿宋"/>
                <w:sz w:val="20"/>
                <w:szCs w:val="22"/>
              </w:rPr>
              <w:t>每级-1.0 %</w:t>
            </w:r>
          </w:p>
        </w:tc>
        <w:tc>
          <w:tcPr>
            <w:tcW w:w="1096" w:type="dxa"/>
          </w:tcPr>
          <w:p w14:paraId="5B77A3F1">
            <w:pPr>
              <w:pStyle w:val="9"/>
              <w:spacing w:before="120"/>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1D126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109" w:type="dxa"/>
            <w:vMerge w:val="continue"/>
            <w:tcBorders>
              <w:top w:val="nil"/>
            </w:tcBorders>
          </w:tcPr>
          <w:p w14:paraId="3F32F1F2">
            <w:pPr>
              <w:rPr>
                <w:rFonts w:hint="eastAsia" w:ascii="仿宋" w:hAnsi="仿宋" w:eastAsia="仿宋" w:cs="仿宋"/>
                <w:sz w:val="4"/>
                <w:szCs w:val="4"/>
              </w:rPr>
            </w:pPr>
          </w:p>
        </w:tc>
        <w:tc>
          <w:tcPr>
            <w:tcW w:w="3120" w:type="dxa"/>
          </w:tcPr>
          <w:p w14:paraId="7CA8258F">
            <w:pPr>
              <w:pStyle w:val="9"/>
              <w:spacing w:before="119"/>
              <w:ind w:left="112"/>
              <w:rPr>
                <w:rFonts w:hint="eastAsia" w:ascii="仿宋" w:hAnsi="仿宋" w:eastAsia="仿宋" w:cs="仿宋"/>
                <w:sz w:val="20"/>
                <w:szCs w:val="22"/>
              </w:rPr>
            </w:pPr>
            <w:r>
              <w:rPr>
                <w:rFonts w:hint="eastAsia" w:ascii="仿宋" w:hAnsi="仿宋" w:eastAsia="仿宋" w:cs="仿宋"/>
                <w:sz w:val="20"/>
                <w:szCs w:val="22"/>
              </w:rPr>
              <w:t>粗纤维（%）</w:t>
            </w:r>
          </w:p>
        </w:tc>
        <w:tc>
          <w:tcPr>
            <w:tcW w:w="1275" w:type="dxa"/>
          </w:tcPr>
          <w:p w14:paraId="1B6E73DF">
            <w:pPr>
              <w:pStyle w:val="9"/>
              <w:spacing w:before="119"/>
              <w:ind w:right="391" w:firstLine="200" w:firstLineChars="100"/>
              <w:jc w:val="both"/>
              <w:rPr>
                <w:rFonts w:hint="eastAsia" w:ascii="仿宋" w:hAnsi="仿宋" w:eastAsia="仿宋" w:cs="仿宋"/>
                <w:sz w:val="20"/>
                <w:szCs w:val="22"/>
              </w:rPr>
            </w:pPr>
            <w:r>
              <w:rPr>
                <w:rFonts w:hint="eastAsia" w:ascii="仿宋" w:hAnsi="仿宋" w:eastAsia="仿宋" w:cs="仿宋"/>
                <w:sz w:val="20"/>
                <w:szCs w:val="22"/>
              </w:rPr>
              <w:t>＜9.0</w:t>
            </w:r>
          </w:p>
        </w:tc>
        <w:tc>
          <w:tcPr>
            <w:tcW w:w="1144" w:type="dxa"/>
          </w:tcPr>
          <w:p w14:paraId="05191441">
            <w:pPr>
              <w:pStyle w:val="9"/>
              <w:spacing w:before="119"/>
              <w:ind w:right="417" w:firstLine="200" w:firstLineChars="100"/>
              <w:jc w:val="both"/>
              <w:rPr>
                <w:rFonts w:hint="eastAsia" w:ascii="仿宋" w:hAnsi="仿宋" w:eastAsia="仿宋" w:cs="仿宋"/>
                <w:sz w:val="20"/>
                <w:szCs w:val="22"/>
              </w:rPr>
            </w:pPr>
            <w:r>
              <w:rPr>
                <w:rFonts w:hint="eastAsia" w:ascii="仿宋" w:hAnsi="仿宋" w:eastAsia="仿宋" w:cs="仿宋"/>
                <w:sz w:val="20"/>
                <w:szCs w:val="22"/>
              </w:rPr>
              <w:t>＜10</w:t>
            </w:r>
          </w:p>
        </w:tc>
        <w:tc>
          <w:tcPr>
            <w:tcW w:w="1361" w:type="dxa"/>
          </w:tcPr>
          <w:p w14:paraId="145DE372">
            <w:pPr>
              <w:pStyle w:val="9"/>
              <w:spacing w:before="119"/>
              <w:ind w:left="179"/>
              <w:rPr>
                <w:rFonts w:hint="eastAsia" w:ascii="仿宋" w:hAnsi="仿宋" w:eastAsia="仿宋" w:cs="仿宋"/>
                <w:sz w:val="20"/>
                <w:szCs w:val="22"/>
              </w:rPr>
            </w:pPr>
            <w:r>
              <w:rPr>
                <w:rFonts w:hint="eastAsia" w:ascii="仿宋" w:hAnsi="仿宋" w:eastAsia="仿宋" w:cs="仿宋"/>
                <w:sz w:val="20"/>
                <w:szCs w:val="22"/>
              </w:rPr>
              <w:t>每级+1.0 %</w:t>
            </w:r>
          </w:p>
        </w:tc>
        <w:tc>
          <w:tcPr>
            <w:tcW w:w="1096" w:type="dxa"/>
          </w:tcPr>
          <w:p w14:paraId="044C1E80">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抽检</w:t>
            </w:r>
          </w:p>
        </w:tc>
      </w:tr>
      <w:tr w14:paraId="3992F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09" w:type="dxa"/>
            <w:vMerge w:val="continue"/>
            <w:tcBorders>
              <w:top w:val="nil"/>
            </w:tcBorders>
          </w:tcPr>
          <w:p w14:paraId="477F0A77">
            <w:pPr>
              <w:rPr>
                <w:rFonts w:hint="eastAsia" w:ascii="仿宋" w:hAnsi="仿宋" w:eastAsia="仿宋" w:cs="仿宋"/>
                <w:sz w:val="4"/>
                <w:szCs w:val="4"/>
              </w:rPr>
            </w:pPr>
          </w:p>
        </w:tc>
        <w:tc>
          <w:tcPr>
            <w:tcW w:w="3120" w:type="dxa"/>
          </w:tcPr>
          <w:p w14:paraId="6D0A11CD">
            <w:pPr>
              <w:pStyle w:val="9"/>
              <w:spacing w:before="119"/>
              <w:ind w:left="112"/>
              <w:rPr>
                <w:rFonts w:hint="eastAsia" w:ascii="仿宋" w:hAnsi="仿宋" w:eastAsia="仿宋" w:cs="仿宋"/>
                <w:sz w:val="20"/>
                <w:szCs w:val="22"/>
              </w:rPr>
            </w:pPr>
            <w:r>
              <w:rPr>
                <w:rFonts w:hint="eastAsia" w:ascii="仿宋" w:hAnsi="仿宋" w:eastAsia="仿宋" w:cs="仿宋"/>
                <w:sz w:val="20"/>
                <w:szCs w:val="22"/>
              </w:rPr>
              <w:t>粗灰分（%）</w:t>
            </w:r>
          </w:p>
        </w:tc>
        <w:tc>
          <w:tcPr>
            <w:tcW w:w="2419" w:type="dxa"/>
            <w:gridSpan w:val="2"/>
          </w:tcPr>
          <w:p w14:paraId="774195FC">
            <w:pPr>
              <w:pStyle w:val="9"/>
              <w:spacing w:before="119"/>
              <w:ind w:left="805"/>
              <w:rPr>
                <w:rFonts w:hint="eastAsia" w:ascii="仿宋" w:hAnsi="仿宋" w:eastAsia="仿宋" w:cs="仿宋"/>
                <w:sz w:val="20"/>
                <w:szCs w:val="22"/>
              </w:rPr>
            </w:pPr>
            <w:r>
              <w:rPr>
                <w:rFonts w:hint="eastAsia" w:ascii="仿宋" w:hAnsi="仿宋" w:eastAsia="仿宋" w:cs="仿宋"/>
                <w:sz w:val="20"/>
                <w:szCs w:val="22"/>
              </w:rPr>
              <w:t>＜6.0</w:t>
            </w:r>
          </w:p>
        </w:tc>
        <w:tc>
          <w:tcPr>
            <w:tcW w:w="1361" w:type="dxa"/>
          </w:tcPr>
          <w:p w14:paraId="6B220232">
            <w:pPr>
              <w:pStyle w:val="9"/>
              <w:spacing w:before="119"/>
              <w:ind w:right="442" w:firstLine="400" w:firstLineChars="200"/>
              <w:jc w:val="both"/>
              <w:rPr>
                <w:rFonts w:hint="eastAsia" w:ascii="仿宋" w:hAnsi="仿宋" w:eastAsia="仿宋" w:cs="仿宋"/>
                <w:sz w:val="20"/>
                <w:szCs w:val="22"/>
              </w:rPr>
            </w:pPr>
            <w:r>
              <w:rPr>
                <w:rFonts w:hint="eastAsia" w:ascii="仿宋" w:hAnsi="仿宋" w:eastAsia="仿宋" w:cs="仿宋"/>
                <w:sz w:val="20"/>
                <w:szCs w:val="22"/>
              </w:rPr>
              <w:t>＞7.0</w:t>
            </w:r>
          </w:p>
        </w:tc>
        <w:tc>
          <w:tcPr>
            <w:tcW w:w="1096" w:type="dxa"/>
          </w:tcPr>
          <w:p w14:paraId="37B8B4F8">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3C4AE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109" w:type="dxa"/>
            <w:vMerge w:val="continue"/>
            <w:tcBorders>
              <w:top w:val="nil"/>
            </w:tcBorders>
          </w:tcPr>
          <w:p w14:paraId="361E0E88">
            <w:pPr>
              <w:rPr>
                <w:rFonts w:hint="eastAsia" w:ascii="仿宋" w:hAnsi="仿宋" w:eastAsia="仿宋" w:cs="仿宋"/>
                <w:sz w:val="4"/>
                <w:szCs w:val="4"/>
              </w:rPr>
            </w:pPr>
          </w:p>
        </w:tc>
        <w:tc>
          <w:tcPr>
            <w:tcW w:w="3120" w:type="dxa"/>
          </w:tcPr>
          <w:p w14:paraId="20552FD1">
            <w:pPr>
              <w:pStyle w:val="9"/>
              <w:spacing w:before="121"/>
              <w:ind w:left="1236" w:right="1220"/>
              <w:jc w:val="center"/>
              <w:rPr>
                <w:rFonts w:hint="eastAsia" w:ascii="仿宋" w:hAnsi="仿宋" w:eastAsia="仿宋" w:cs="仿宋"/>
                <w:b/>
                <w:sz w:val="20"/>
                <w:szCs w:val="22"/>
              </w:rPr>
            </w:pPr>
            <w:r>
              <w:rPr>
                <w:rFonts w:hint="eastAsia" w:ascii="仿宋" w:hAnsi="仿宋" w:eastAsia="仿宋" w:cs="仿宋"/>
                <w:b/>
                <w:sz w:val="20"/>
                <w:szCs w:val="22"/>
              </w:rPr>
              <w:t>项目</w:t>
            </w:r>
          </w:p>
        </w:tc>
        <w:tc>
          <w:tcPr>
            <w:tcW w:w="2419" w:type="dxa"/>
            <w:gridSpan w:val="2"/>
          </w:tcPr>
          <w:p w14:paraId="20090931">
            <w:pPr>
              <w:pStyle w:val="9"/>
              <w:spacing w:before="121"/>
              <w:ind w:left="928" w:right="913"/>
              <w:jc w:val="center"/>
              <w:rPr>
                <w:rFonts w:hint="eastAsia" w:ascii="仿宋" w:hAnsi="仿宋" w:eastAsia="仿宋" w:cs="仿宋"/>
                <w:b/>
                <w:sz w:val="20"/>
                <w:szCs w:val="22"/>
              </w:rPr>
            </w:pPr>
            <w:r>
              <w:rPr>
                <w:rFonts w:hint="eastAsia" w:ascii="仿宋" w:hAnsi="仿宋" w:eastAsia="仿宋" w:cs="仿宋"/>
                <w:b/>
                <w:sz w:val="20"/>
                <w:szCs w:val="22"/>
              </w:rPr>
              <w:t>方法</w:t>
            </w:r>
          </w:p>
        </w:tc>
        <w:tc>
          <w:tcPr>
            <w:tcW w:w="1361" w:type="dxa"/>
          </w:tcPr>
          <w:p w14:paraId="5A2A1DBF">
            <w:pPr>
              <w:pStyle w:val="9"/>
              <w:spacing w:before="121"/>
              <w:ind w:left="294"/>
              <w:rPr>
                <w:rFonts w:hint="eastAsia" w:ascii="仿宋" w:hAnsi="仿宋" w:eastAsia="仿宋" w:cs="仿宋"/>
                <w:b/>
                <w:sz w:val="20"/>
                <w:szCs w:val="22"/>
              </w:rPr>
            </w:pPr>
            <w:r>
              <w:rPr>
                <w:rFonts w:hint="eastAsia" w:ascii="仿宋" w:hAnsi="仿宋" w:eastAsia="仿宋" w:cs="仿宋"/>
                <w:b/>
                <w:sz w:val="20"/>
                <w:szCs w:val="22"/>
              </w:rPr>
              <w:t>退货值</w:t>
            </w:r>
          </w:p>
        </w:tc>
        <w:tc>
          <w:tcPr>
            <w:tcW w:w="1096" w:type="dxa"/>
          </w:tcPr>
          <w:p w14:paraId="5DFF8D9F">
            <w:pPr>
              <w:pStyle w:val="9"/>
              <w:spacing w:before="121"/>
              <w:ind w:right="167"/>
              <w:jc w:val="both"/>
              <w:rPr>
                <w:rFonts w:hint="eastAsia" w:ascii="仿宋" w:hAnsi="仿宋" w:eastAsia="仿宋" w:cs="仿宋"/>
                <w:b/>
                <w:sz w:val="20"/>
                <w:szCs w:val="22"/>
              </w:rPr>
            </w:pPr>
            <w:r>
              <w:rPr>
                <w:rFonts w:hint="eastAsia" w:ascii="仿宋" w:hAnsi="仿宋" w:eastAsia="仿宋" w:cs="仿宋"/>
                <w:b/>
                <w:sz w:val="20"/>
                <w:szCs w:val="22"/>
              </w:rPr>
              <w:t>检测要求</w:t>
            </w:r>
          </w:p>
        </w:tc>
      </w:tr>
      <w:tr w14:paraId="2A71F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1109" w:type="dxa"/>
            <w:vMerge w:val="continue"/>
            <w:tcBorders>
              <w:top w:val="nil"/>
            </w:tcBorders>
          </w:tcPr>
          <w:p w14:paraId="6EADDC1A">
            <w:pPr>
              <w:rPr>
                <w:rFonts w:hint="eastAsia" w:ascii="仿宋" w:hAnsi="仿宋" w:eastAsia="仿宋" w:cs="仿宋"/>
                <w:sz w:val="4"/>
                <w:szCs w:val="4"/>
              </w:rPr>
            </w:pPr>
          </w:p>
        </w:tc>
        <w:tc>
          <w:tcPr>
            <w:tcW w:w="3120" w:type="dxa"/>
            <w:vMerge w:val="restart"/>
          </w:tcPr>
          <w:p w14:paraId="5B610025">
            <w:pPr>
              <w:pStyle w:val="9"/>
              <w:spacing w:before="118"/>
              <w:ind w:left="112"/>
              <w:rPr>
                <w:rFonts w:hint="eastAsia" w:ascii="仿宋" w:hAnsi="仿宋" w:eastAsia="仿宋" w:cs="仿宋"/>
                <w:sz w:val="20"/>
                <w:szCs w:val="22"/>
              </w:rPr>
            </w:pPr>
            <w:r>
              <w:rPr>
                <w:rFonts w:hint="eastAsia" w:ascii="仿宋" w:hAnsi="仿宋" w:eastAsia="仿宋" w:cs="仿宋"/>
                <w:sz w:val="20"/>
                <w:szCs w:val="22"/>
              </w:rPr>
              <w:t>掺假检测（定性）</w:t>
            </w:r>
          </w:p>
        </w:tc>
        <w:tc>
          <w:tcPr>
            <w:tcW w:w="2419" w:type="dxa"/>
            <w:gridSpan w:val="2"/>
          </w:tcPr>
          <w:p w14:paraId="78B764F7">
            <w:pPr>
              <w:pStyle w:val="9"/>
              <w:spacing w:before="118"/>
              <w:ind w:right="886" w:firstLine="1000" w:firstLineChars="500"/>
              <w:jc w:val="both"/>
              <w:rPr>
                <w:rFonts w:hint="eastAsia" w:ascii="仿宋" w:hAnsi="仿宋" w:eastAsia="仿宋" w:cs="仿宋"/>
                <w:sz w:val="20"/>
                <w:szCs w:val="22"/>
              </w:rPr>
            </w:pPr>
            <w:r>
              <w:rPr>
                <w:rFonts w:hint="eastAsia" w:ascii="仿宋" w:hAnsi="仿宋" w:eastAsia="仿宋" w:cs="仿宋"/>
                <w:sz w:val="20"/>
                <w:szCs w:val="22"/>
              </w:rPr>
              <w:t>镜检</w:t>
            </w:r>
          </w:p>
        </w:tc>
        <w:tc>
          <w:tcPr>
            <w:tcW w:w="1361" w:type="dxa"/>
          </w:tcPr>
          <w:p w14:paraId="5F2C71DE">
            <w:pPr>
              <w:pStyle w:val="9"/>
              <w:spacing w:before="118"/>
              <w:ind w:left="10"/>
              <w:jc w:val="center"/>
              <w:rPr>
                <w:rFonts w:hint="eastAsia" w:ascii="仿宋" w:hAnsi="仿宋" w:eastAsia="仿宋" w:cs="仿宋"/>
                <w:sz w:val="20"/>
                <w:szCs w:val="22"/>
              </w:rPr>
            </w:pPr>
            <w:r>
              <w:rPr>
                <w:rFonts w:hint="eastAsia" w:ascii="仿宋" w:hAnsi="仿宋" w:eastAsia="仿宋" w:cs="仿宋"/>
                <w:sz w:val="20"/>
                <w:szCs w:val="22"/>
              </w:rPr>
              <w:t>-</w:t>
            </w:r>
          </w:p>
        </w:tc>
        <w:tc>
          <w:tcPr>
            <w:tcW w:w="1096" w:type="dxa"/>
          </w:tcPr>
          <w:p w14:paraId="6F67BE64">
            <w:pPr>
              <w:pStyle w:val="9"/>
              <w:spacing w:before="118"/>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798B6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109" w:type="dxa"/>
            <w:vMerge w:val="continue"/>
            <w:tcBorders>
              <w:top w:val="nil"/>
            </w:tcBorders>
          </w:tcPr>
          <w:p w14:paraId="356FF720">
            <w:pPr>
              <w:rPr>
                <w:rFonts w:hint="eastAsia" w:ascii="仿宋" w:hAnsi="仿宋" w:eastAsia="仿宋" w:cs="仿宋"/>
                <w:sz w:val="4"/>
                <w:szCs w:val="4"/>
              </w:rPr>
            </w:pPr>
          </w:p>
        </w:tc>
        <w:tc>
          <w:tcPr>
            <w:tcW w:w="3120" w:type="dxa"/>
            <w:vMerge w:val="continue"/>
            <w:tcBorders>
              <w:top w:val="nil"/>
            </w:tcBorders>
          </w:tcPr>
          <w:p w14:paraId="45FFA7D0">
            <w:pPr>
              <w:rPr>
                <w:rFonts w:hint="eastAsia" w:ascii="仿宋" w:hAnsi="仿宋" w:eastAsia="仿宋" w:cs="仿宋"/>
                <w:sz w:val="4"/>
                <w:szCs w:val="4"/>
              </w:rPr>
            </w:pPr>
          </w:p>
        </w:tc>
        <w:tc>
          <w:tcPr>
            <w:tcW w:w="2419" w:type="dxa"/>
            <w:gridSpan w:val="2"/>
          </w:tcPr>
          <w:p w14:paraId="6D759B22">
            <w:pPr>
              <w:pStyle w:val="9"/>
              <w:spacing w:before="119"/>
              <w:ind w:right="883" w:firstLine="800" w:firstLineChars="400"/>
              <w:jc w:val="both"/>
              <w:rPr>
                <w:rFonts w:hint="eastAsia" w:ascii="仿宋" w:hAnsi="仿宋" w:eastAsia="仿宋" w:cs="仿宋"/>
                <w:sz w:val="20"/>
                <w:szCs w:val="22"/>
              </w:rPr>
            </w:pPr>
            <w:r>
              <w:rPr>
                <w:rFonts w:hint="eastAsia" w:ascii="仿宋" w:hAnsi="仿宋" w:eastAsia="仿宋" w:cs="仿宋"/>
                <w:sz w:val="20"/>
                <w:szCs w:val="22"/>
              </w:rPr>
              <w:t>盐酸法</w:t>
            </w:r>
          </w:p>
        </w:tc>
        <w:tc>
          <w:tcPr>
            <w:tcW w:w="1361" w:type="dxa"/>
          </w:tcPr>
          <w:p w14:paraId="197F2563">
            <w:pPr>
              <w:pStyle w:val="9"/>
              <w:spacing w:before="119"/>
              <w:ind w:left="10"/>
              <w:jc w:val="center"/>
              <w:rPr>
                <w:rFonts w:hint="eastAsia" w:ascii="仿宋" w:hAnsi="仿宋" w:eastAsia="仿宋" w:cs="仿宋"/>
                <w:sz w:val="20"/>
                <w:szCs w:val="22"/>
              </w:rPr>
            </w:pPr>
            <w:r>
              <w:rPr>
                <w:rFonts w:hint="eastAsia" w:ascii="仿宋" w:hAnsi="仿宋" w:eastAsia="仿宋" w:cs="仿宋"/>
                <w:sz w:val="20"/>
                <w:szCs w:val="22"/>
              </w:rPr>
              <w:t>-</w:t>
            </w:r>
          </w:p>
        </w:tc>
        <w:tc>
          <w:tcPr>
            <w:tcW w:w="1096" w:type="dxa"/>
          </w:tcPr>
          <w:p w14:paraId="470541A8">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078E2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1109" w:type="dxa"/>
            <w:vMerge w:val="continue"/>
            <w:tcBorders>
              <w:top w:val="nil"/>
            </w:tcBorders>
          </w:tcPr>
          <w:p w14:paraId="60506741">
            <w:pPr>
              <w:rPr>
                <w:rFonts w:hint="eastAsia" w:ascii="仿宋" w:hAnsi="仿宋" w:eastAsia="仿宋" w:cs="仿宋"/>
                <w:sz w:val="4"/>
                <w:szCs w:val="4"/>
              </w:rPr>
            </w:pPr>
          </w:p>
        </w:tc>
        <w:tc>
          <w:tcPr>
            <w:tcW w:w="3120" w:type="dxa"/>
            <w:vMerge w:val="continue"/>
            <w:tcBorders>
              <w:top w:val="nil"/>
            </w:tcBorders>
          </w:tcPr>
          <w:p w14:paraId="7CBD6EE2">
            <w:pPr>
              <w:rPr>
                <w:rFonts w:hint="eastAsia" w:ascii="仿宋" w:hAnsi="仿宋" w:eastAsia="仿宋" w:cs="仿宋"/>
                <w:sz w:val="4"/>
                <w:szCs w:val="4"/>
              </w:rPr>
            </w:pPr>
          </w:p>
        </w:tc>
        <w:tc>
          <w:tcPr>
            <w:tcW w:w="2419" w:type="dxa"/>
            <w:gridSpan w:val="2"/>
          </w:tcPr>
          <w:p w14:paraId="026A5B48">
            <w:pPr>
              <w:pStyle w:val="9"/>
              <w:spacing w:before="119"/>
              <w:ind w:right="883" w:firstLine="800" w:firstLineChars="400"/>
              <w:jc w:val="both"/>
              <w:rPr>
                <w:rFonts w:hint="eastAsia" w:ascii="仿宋" w:hAnsi="仿宋" w:eastAsia="仿宋" w:cs="仿宋"/>
                <w:sz w:val="20"/>
                <w:szCs w:val="22"/>
              </w:rPr>
            </w:pPr>
            <w:r>
              <w:rPr>
                <w:rFonts w:hint="eastAsia" w:ascii="仿宋" w:hAnsi="仿宋" w:eastAsia="仿宋" w:cs="仿宋"/>
                <w:sz w:val="20"/>
                <w:szCs w:val="22"/>
              </w:rPr>
              <w:t>水浸法</w:t>
            </w:r>
          </w:p>
        </w:tc>
        <w:tc>
          <w:tcPr>
            <w:tcW w:w="1361" w:type="dxa"/>
          </w:tcPr>
          <w:p w14:paraId="516870F1">
            <w:pPr>
              <w:pStyle w:val="9"/>
              <w:spacing w:before="119"/>
              <w:ind w:left="10"/>
              <w:jc w:val="center"/>
              <w:rPr>
                <w:rFonts w:hint="eastAsia" w:ascii="仿宋" w:hAnsi="仿宋" w:eastAsia="仿宋" w:cs="仿宋"/>
                <w:sz w:val="20"/>
                <w:szCs w:val="22"/>
              </w:rPr>
            </w:pPr>
            <w:r>
              <w:rPr>
                <w:rFonts w:hint="eastAsia" w:ascii="仿宋" w:hAnsi="仿宋" w:eastAsia="仿宋" w:cs="仿宋"/>
                <w:sz w:val="20"/>
                <w:szCs w:val="22"/>
              </w:rPr>
              <w:t>-</w:t>
            </w:r>
          </w:p>
        </w:tc>
        <w:tc>
          <w:tcPr>
            <w:tcW w:w="1096" w:type="dxa"/>
          </w:tcPr>
          <w:p w14:paraId="300DF6E3">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52B4A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109" w:type="dxa"/>
          </w:tcPr>
          <w:p w14:paraId="659B0E77">
            <w:pPr>
              <w:pStyle w:val="9"/>
              <w:spacing w:before="118"/>
              <w:ind w:left="266"/>
              <w:rPr>
                <w:rFonts w:hint="eastAsia" w:ascii="仿宋" w:hAnsi="仿宋" w:eastAsia="仿宋" w:cs="仿宋"/>
                <w:sz w:val="20"/>
                <w:szCs w:val="22"/>
              </w:rPr>
            </w:pPr>
            <w:r>
              <w:rPr>
                <w:rFonts w:hint="eastAsia" w:ascii="仿宋" w:hAnsi="仿宋" w:eastAsia="仿宋" w:cs="仿宋"/>
                <w:sz w:val="20"/>
                <w:szCs w:val="22"/>
              </w:rPr>
              <w:t>卫生指标</w:t>
            </w:r>
          </w:p>
        </w:tc>
        <w:tc>
          <w:tcPr>
            <w:tcW w:w="7996" w:type="dxa"/>
            <w:gridSpan w:val="5"/>
          </w:tcPr>
          <w:p w14:paraId="0EDC4927">
            <w:pPr>
              <w:pStyle w:val="9"/>
              <w:spacing w:before="118"/>
              <w:ind w:right="2410" w:firstLine="400" w:firstLineChars="200"/>
              <w:jc w:val="both"/>
              <w:rPr>
                <w:rFonts w:hint="eastAsia" w:ascii="仿宋" w:hAnsi="仿宋" w:eastAsia="仿宋" w:cs="仿宋"/>
                <w:sz w:val="20"/>
                <w:szCs w:val="22"/>
              </w:rPr>
            </w:pPr>
            <w:r>
              <w:rPr>
                <w:rFonts w:hint="eastAsia" w:ascii="仿宋" w:hAnsi="仿宋" w:eastAsia="仿宋" w:cs="仿宋"/>
                <w:sz w:val="20"/>
                <w:szCs w:val="22"/>
              </w:rPr>
              <w:t>卫生指标执行GB13078-2017 规定标准</w:t>
            </w:r>
          </w:p>
        </w:tc>
      </w:tr>
      <w:tr w14:paraId="59A8C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jc w:val="center"/>
        </w:trPr>
        <w:tc>
          <w:tcPr>
            <w:tcW w:w="9105" w:type="dxa"/>
            <w:gridSpan w:val="6"/>
          </w:tcPr>
          <w:p w14:paraId="1C071BA2">
            <w:pPr>
              <w:pStyle w:val="9"/>
              <w:spacing w:before="150"/>
              <w:ind w:left="112"/>
              <w:rPr>
                <w:rFonts w:hint="eastAsia" w:ascii="仿宋" w:hAnsi="仿宋" w:eastAsia="仿宋" w:cs="仿宋"/>
                <w:sz w:val="20"/>
                <w:szCs w:val="22"/>
              </w:rPr>
            </w:pPr>
            <w:r>
              <w:rPr>
                <w:rFonts w:hint="eastAsia" w:ascii="仿宋" w:hAnsi="仿宋" w:eastAsia="仿宋" w:cs="仿宋"/>
                <w:sz w:val="20"/>
                <w:szCs w:val="22"/>
              </w:rPr>
              <w:t>注：1、不得掺入饲料用小麦麸以外的物质，若加入抗氧化剂、防霉剂等添加剂时，应作相应说明；</w:t>
            </w:r>
          </w:p>
          <w:p w14:paraId="45669184">
            <w:pPr>
              <w:pStyle w:val="9"/>
              <w:spacing w:before="1"/>
              <w:ind w:left="472"/>
              <w:rPr>
                <w:rFonts w:hint="eastAsia" w:ascii="仿宋" w:hAnsi="仿宋" w:eastAsia="仿宋" w:cs="仿宋"/>
                <w:sz w:val="20"/>
                <w:szCs w:val="22"/>
              </w:rPr>
            </w:pPr>
            <w:r>
              <w:rPr>
                <w:rFonts w:hint="eastAsia" w:ascii="仿宋" w:hAnsi="仿宋" w:eastAsia="仿宋" w:cs="仿宋"/>
                <w:sz w:val="20"/>
                <w:szCs w:val="22"/>
              </w:rPr>
              <w:t>2、粗蛋白、粗灰分和粗纤维为常态基础上的要求；</w:t>
            </w:r>
          </w:p>
          <w:p w14:paraId="7514EA3D">
            <w:pPr>
              <w:pStyle w:val="9"/>
              <w:ind w:left="472"/>
              <w:rPr>
                <w:rFonts w:hint="eastAsia" w:ascii="仿宋" w:hAnsi="仿宋" w:eastAsia="仿宋" w:cs="仿宋"/>
                <w:sz w:val="18"/>
                <w:szCs w:val="22"/>
              </w:rPr>
            </w:pPr>
            <w:r>
              <w:rPr>
                <w:rFonts w:hint="eastAsia" w:ascii="仿宋" w:hAnsi="仿宋" w:eastAsia="仿宋" w:cs="仿宋"/>
                <w:sz w:val="20"/>
                <w:szCs w:val="22"/>
              </w:rPr>
              <w:t>3、夏季库存天数15天，使用周转天数7天，配料仓内不超过12小时；</w:t>
            </w:r>
          </w:p>
          <w:p w14:paraId="2728EFD2">
            <w:pPr>
              <w:pStyle w:val="9"/>
              <w:ind w:left="472"/>
              <w:rPr>
                <w:rFonts w:hint="eastAsia" w:ascii="仿宋" w:hAnsi="仿宋" w:eastAsia="仿宋" w:cs="仿宋"/>
                <w:sz w:val="18"/>
                <w:szCs w:val="22"/>
              </w:rPr>
            </w:pPr>
            <w:r>
              <w:rPr>
                <w:rFonts w:hint="eastAsia" w:ascii="仿宋" w:hAnsi="仿宋" w:eastAsia="仿宋" w:cs="仿宋"/>
                <w:sz w:val="20"/>
                <w:szCs w:val="22"/>
              </w:rPr>
              <w:t>4、呕吐毒素预警值为 1 mg/kg；</w:t>
            </w:r>
          </w:p>
          <w:p w14:paraId="73925C85">
            <w:pPr>
              <w:pStyle w:val="9"/>
              <w:ind w:left="472"/>
              <w:rPr>
                <w:rFonts w:hint="eastAsia" w:ascii="仿宋" w:hAnsi="仿宋" w:eastAsia="仿宋" w:cs="仿宋"/>
                <w:sz w:val="20"/>
                <w:szCs w:val="22"/>
              </w:rPr>
            </w:pPr>
            <w:r>
              <w:rPr>
                <w:rFonts w:hint="eastAsia" w:ascii="仿宋" w:hAnsi="仿宋" w:eastAsia="仿宋" w:cs="仿宋"/>
                <w:sz w:val="20"/>
                <w:szCs w:val="22"/>
              </w:rPr>
              <w:t>5、风险指标和卫生指标不合格，拒收处置。</w:t>
            </w:r>
          </w:p>
        </w:tc>
      </w:tr>
    </w:tbl>
    <w:p w14:paraId="41CFE1F6">
      <w:pPr>
        <w:numPr>
          <w:ilvl w:val="0"/>
          <w:numId w:val="0"/>
        </w:numPr>
        <w:spacing w:before="86"/>
        <w:ind w:leftChars="0" w:right="0" w:rightChars="0"/>
        <w:jc w:val="left"/>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1C1097E9">
      <w:pPr>
        <w:numPr>
          <w:ilvl w:val="0"/>
          <w:numId w:val="0"/>
        </w:numPr>
        <w:spacing w:before="86"/>
        <w:ind w:leftChars="0" w:right="0" w:rightChars="0"/>
        <w:jc w:val="left"/>
        <w:rPr>
          <w:rFonts w:hint="eastAsia" w:ascii="仿宋" w:hAnsi="仿宋" w:eastAsia="仿宋" w:cs="仿宋"/>
          <w:sz w:val="24"/>
        </w:rPr>
      </w:pPr>
      <w:r>
        <w:rPr>
          <w:rFonts w:hint="eastAsia" w:ascii="仿宋" w:hAnsi="仿宋" w:eastAsia="仿宋" w:cs="仿宋"/>
          <w:sz w:val="24"/>
        </w:rPr>
        <w:t>标签标识符合 NY/T 119-1989中相关要求。</w:t>
      </w:r>
    </w:p>
    <w:p w14:paraId="4D2B2C5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bookmarkStart w:id="0" w:name="_GoBack"/>
      <w:bookmarkEnd w:id="0"/>
      <w:r>
        <w:rPr>
          <w:rFonts w:hint="eastAsia" w:asciiTheme="minorEastAsia" w:hAnsiTheme="minorEastAsia" w:eastAsiaTheme="minorEastAsia" w:cstheme="minorEastAsia"/>
          <w:b/>
          <w:bCs/>
          <w:sz w:val="21"/>
          <w:szCs w:val="21"/>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Theme="minorEastAsia" w:hAnsiTheme="minorEastAsia" w:eastAsiaTheme="minorEastAsia" w:cstheme="minorEastAsia"/>
          <w:b/>
          <w:bCs/>
          <w:sz w:val="21"/>
          <w:szCs w:val="21"/>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14309D"/>
    <w:rsid w:val="11710BAD"/>
    <w:rsid w:val="11FF779B"/>
    <w:rsid w:val="175214DB"/>
    <w:rsid w:val="1A9D5221"/>
    <w:rsid w:val="1CC45546"/>
    <w:rsid w:val="1D7F2AB0"/>
    <w:rsid w:val="1DCC22E0"/>
    <w:rsid w:val="1F135B57"/>
    <w:rsid w:val="20C560FB"/>
    <w:rsid w:val="22887589"/>
    <w:rsid w:val="24A019E5"/>
    <w:rsid w:val="2A441B0B"/>
    <w:rsid w:val="2D897BF4"/>
    <w:rsid w:val="3434782F"/>
    <w:rsid w:val="385C0B47"/>
    <w:rsid w:val="3C961CAF"/>
    <w:rsid w:val="3E746B53"/>
    <w:rsid w:val="40081B38"/>
    <w:rsid w:val="40C655EA"/>
    <w:rsid w:val="43881600"/>
    <w:rsid w:val="4445400D"/>
    <w:rsid w:val="458C28C6"/>
    <w:rsid w:val="47C44E19"/>
    <w:rsid w:val="47D91028"/>
    <w:rsid w:val="4A9420B8"/>
    <w:rsid w:val="4AFB028B"/>
    <w:rsid w:val="4E864704"/>
    <w:rsid w:val="4F62730B"/>
    <w:rsid w:val="53252A3D"/>
    <w:rsid w:val="5558042C"/>
    <w:rsid w:val="5767239A"/>
    <w:rsid w:val="59270DD1"/>
    <w:rsid w:val="5DCE03EE"/>
    <w:rsid w:val="5E711347"/>
    <w:rsid w:val="5E9577E4"/>
    <w:rsid w:val="631725C7"/>
    <w:rsid w:val="67AE624F"/>
    <w:rsid w:val="69D7130C"/>
    <w:rsid w:val="6B5E71C6"/>
    <w:rsid w:val="6E846E3A"/>
    <w:rsid w:val="707B5D4B"/>
    <w:rsid w:val="72D8479F"/>
    <w:rsid w:val="72F32737"/>
    <w:rsid w:val="74585D3C"/>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1956</Words>
  <Characters>2166</Characters>
  <TotalTime>0</TotalTime>
  <ScaleCrop>false</ScaleCrop>
  <LinksUpToDate>false</LinksUpToDate>
  <CharactersWithSpaces>3177</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2025-08-07T09:23:58Z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