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70吨小苏打</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QJKJ-CG-XSD-20250916</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33"/>
        <w:gridCol w:w="6262"/>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33"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262"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33"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262"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33"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262"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70吨小苏打</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33"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262"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33"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262"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33"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262"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70吨小苏打</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33"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262"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33"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262"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 xml:space="preserve">1 </w:t>
            </w:r>
            <w:bookmarkStart w:id="1" w:name="_GoBack"/>
            <w:bookmarkEnd w:id="1"/>
            <w:r>
              <w:rPr>
                <w:rFonts w:hint="eastAsia" w:ascii="仿宋" w:hAnsi="仿宋" w:eastAsia="仿宋" w:cs="仿宋"/>
                <w:color w:val="auto"/>
                <w:spacing w:val="-60"/>
                <w:sz w:val="24"/>
                <w:szCs w:val="24"/>
                <w:u w:val="single"/>
                <w:lang w:val="en-US" w:eastAsia="zh-CN"/>
              </w:rPr>
              <w:t>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33"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262"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33"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262"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30D21D20">
      <w:pPr>
        <w:spacing w:line="235" w:lineRule="exact"/>
      </w:pPr>
    </w:p>
    <w:p w14:paraId="321DF6C6">
      <w:pPr>
        <w:rPr>
          <w:rFonts w:ascii="Arial"/>
          <w:sz w:val="21"/>
        </w:rPr>
      </w:pPr>
    </w:p>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8C416D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rPr>
      </w:pPr>
      <w:r>
        <w:rPr>
          <w:rFonts w:hint="eastAsia" w:ascii="仿宋" w:hAnsi="仿宋" w:eastAsia="仿宋" w:cs="仿宋"/>
          <w:b/>
          <w:bCs/>
          <w:sz w:val="28"/>
          <w:szCs w:val="28"/>
        </w:rPr>
        <w:t>碳酸氢</w:t>
      </w:r>
      <w:r>
        <w:rPr>
          <w:rFonts w:hint="eastAsia" w:ascii="仿宋" w:hAnsi="仿宋" w:eastAsia="仿宋" w:cs="仿宋"/>
          <w:b/>
          <w:bCs/>
          <w:sz w:val="28"/>
          <w:szCs w:val="28"/>
          <w:lang w:val="en-US" w:eastAsia="zh-CN"/>
        </w:rPr>
        <w:t>钠</w:t>
      </w:r>
      <w:r>
        <w:rPr>
          <w:rFonts w:hint="eastAsia" w:ascii="仿宋" w:hAnsi="仿宋" w:eastAsia="仿宋" w:cs="仿宋"/>
          <w:b/>
          <w:bCs/>
          <w:sz w:val="28"/>
          <w:szCs w:val="28"/>
        </w:rPr>
        <w:t>（小苏打）</w:t>
      </w:r>
    </w:p>
    <w:p w14:paraId="018BD1A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1、感官指标</w:t>
      </w:r>
    </w:p>
    <w:p w14:paraId="74B64FE2">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bookmarkStart w:id="0" w:name="白色结晶性粉末，无味，无结块、易溶于水，不溶于乙醇，有碱味，口感较涩。"/>
      <w:bookmarkEnd w:id="0"/>
      <w:r>
        <w:rPr>
          <w:rFonts w:hint="eastAsia" w:ascii="仿宋" w:hAnsi="仿宋" w:eastAsia="仿宋" w:cs="仿宋"/>
          <w:b w:val="0"/>
          <w:bCs w:val="0"/>
          <w:sz w:val="24"/>
          <w:szCs w:val="24"/>
        </w:rPr>
        <w:t>白色结晶性粉末，无味，无结块、易溶于水，不溶于乙醇，有碱味，口感较涩。</w:t>
      </w:r>
    </w:p>
    <w:p w14:paraId="2B027F0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2、技术指标</w:t>
      </w:r>
    </w:p>
    <w:tbl>
      <w:tblPr>
        <w:tblStyle w:val="4"/>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2893"/>
        <w:gridCol w:w="495"/>
        <w:gridCol w:w="1769"/>
        <w:gridCol w:w="1608"/>
        <w:gridCol w:w="1290"/>
      </w:tblGrid>
      <w:tr w14:paraId="6B68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63" w:type="dxa"/>
            <w:gridSpan w:val="3"/>
            <w:vAlign w:val="center"/>
          </w:tcPr>
          <w:p w14:paraId="20B525F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项目</w:t>
            </w:r>
          </w:p>
        </w:tc>
        <w:tc>
          <w:tcPr>
            <w:tcW w:w="1769" w:type="dxa"/>
            <w:vAlign w:val="center"/>
          </w:tcPr>
          <w:p w14:paraId="4A7D694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指标</w:t>
            </w:r>
          </w:p>
        </w:tc>
        <w:tc>
          <w:tcPr>
            <w:tcW w:w="1608" w:type="dxa"/>
            <w:vAlign w:val="center"/>
          </w:tcPr>
          <w:p w14:paraId="2340FA3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退货值</w:t>
            </w:r>
          </w:p>
        </w:tc>
        <w:tc>
          <w:tcPr>
            <w:tcW w:w="1290" w:type="dxa"/>
            <w:vAlign w:val="center"/>
          </w:tcPr>
          <w:p w14:paraId="6DA0EB2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检验要求</w:t>
            </w:r>
          </w:p>
        </w:tc>
      </w:tr>
      <w:tr w14:paraId="0CF3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03508A3C">
            <w:pPr>
              <w:spacing w:after="0"/>
              <w:jc w:val="center"/>
              <w:rPr>
                <w:rFonts w:hint="eastAsia" w:ascii="仿宋" w:hAnsi="仿宋" w:eastAsia="仿宋" w:cs="仿宋"/>
                <w:b w:val="0"/>
                <w:bCs w:val="0"/>
                <w:sz w:val="24"/>
                <w:szCs w:val="24"/>
              </w:rPr>
            </w:pPr>
          </w:p>
          <w:p w14:paraId="237F17CD">
            <w:pPr>
              <w:spacing w:after="0"/>
              <w:jc w:val="center"/>
              <w:rPr>
                <w:rFonts w:hint="eastAsia" w:ascii="仿宋" w:hAnsi="仿宋" w:eastAsia="仿宋" w:cs="仿宋"/>
                <w:b w:val="0"/>
                <w:bCs w:val="0"/>
                <w:sz w:val="24"/>
                <w:szCs w:val="24"/>
              </w:rPr>
            </w:pPr>
          </w:p>
          <w:p w14:paraId="498FA419">
            <w:pPr>
              <w:spacing w:after="0"/>
              <w:jc w:val="center"/>
              <w:rPr>
                <w:rFonts w:hint="eastAsia" w:ascii="仿宋" w:hAnsi="仿宋" w:eastAsia="仿宋" w:cs="仿宋"/>
                <w:b w:val="0"/>
                <w:bCs w:val="0"/>
                <w:sz w:val="24"/>
                <w:szCs w:val="24"/>
              </w:rPr>
            </w:pPr>
          </w:p>
          <w:p w14:paraId="775831E8">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理化指标</w:t>
            </w:r>
          </w:p>
        </w:tc>
        <w:tc>
          <w:tcPr>
            <w:tcW w:w="2893" w:type="dxa"/>
            <w:tcBorders>
              <w:right w:val="nil"/>
            </w:tcBorders>
            <w:vAlign w:val="center"/>
          </w:tcPr>
          <w:p w14:paraId="183E895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水分（%）</w:t>
            </w:r>
          </w:p>
        </w:tc>
        <w:tc>
          <w:tcPr>
            <w:tcW w:w="495" w:type="dxa"/>
            <w:tcBorders>
              <w:left w:val="nil"/>
            </w:tcBorders>
            <w:vAlign w:val="center"/>
          </w:tcPr>
          <w:p w14:paraId="15FFFA1E">
            <w:pPr>
              <w:spacing w:after="0"/>
              <w:jc w:val="center"/>
              <w:rPr>
                <w:rFonts w:hint="eastAsia" w:ascii="仿宋" w:hAnsi="仿宋" w:eastAsia="仿宋" w:cs="仿宋"/>
                <w:b w:val="0"/>
                <w:bCs w:val="0"/>
                <w:sz w:val="24"/>
                <w:szCs w:val="24"/>
              </w:rPr>
            </w:pPr>
          </w:p>
        </w:tc>
        <w:tc>
          <w:tcPr>
            <w:tcW w:w="1769" w:type="dxa"/>
            <w:vAlign w:val="center"/>
          </w:tcPr>
          <w:p w14:paraId="4A903FB3">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≤0.20</w:t>
            </w:r>
          </w:p>
        </w:tc>
        <w:tc>
          <w:tcPr>
            <w:tcW w:w="1608" w:type="dxa"/>
            <w:vAlign w:val="center"/>
          </w:tcPr>
          <w:p w14:paraId="79F3FE6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＞0.4</w:t>
            </w:r>
          </w:p>
        </w:tc>
        <w:tc>
          <w:tcPr>
            <w:tcW w:w="1290" w:type="dxa"/>
            <w:vAlign w:val="center"/>
          </w:tcPr>
          <w:p w14:paraId="07CCCB4A">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D372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05D611A8">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40136F3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总碱量（以 NaHCO3 计，%）</w:t>
            </w:r>
          </w:p>
        </w:tc>
        <w:tc>
          <w:tcPr>
            <w:tcW w:w="495" w:type="dxa"/>
            <w:tcBorders>
              <w:left w:val="nil"/>
            </w:tcBorders>
            <w:vAlign w:val="center"/>
          </w:tcPr>
          <w:p w14:paraId="02596E33">
            <w:pPr>
              <w:spacing w:after="0"/>
              <w:jc w:val="center"/>
              <w:rPr>
                <w:rFonts w:hint="eastAsia" w:ascii="仿宋" w:hAnsi="仿宋" w:eastAsia="仿宋" w:cs="仿宋"/>
                <w:b w:val="0"/>
                <w:bCs w:val="0"/>
                <w:sz w:val="24"/>
                <w:szCs w:val="24"/>
              </w:rPr>
            </w:pPr>
          </w:p>
        </w:tc>
        <w:tc>
          <w:tcPr>
            <w:tcW w:w="1769" w:type="dxa"/>
            <w:vAlign w:val="center"/>
          </w:tcPr>
          <w:p w14:paraId="7517434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≥99.0</w:t>
            </w:r>
          </w:p>
        </w:tc>
        <w:tc>
          <w:tcPr>
            <w:tcW w:w="1608" w:type="dxa"/>
            <w:vAlign w:val="center"/>
          </w:tcPr>
          <w:p w14:paraId="3858602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＜98.0</w:t>
            </w:r>
          </w:p>
        </w:tc>
        <w:tc>
          <w:tcPr>
            <w:tcW w:w="1290" w:type="dxa"/>
            <w:vAlign w:val="center"/>
          </w:tcPr>
          <w:p w14:paraId="1AAB6DC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28A5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30DD04F4">
            <w:pPr>
              <w:spacing w:after="0"/>
              <w:jc w:val="center"/>
              <w:rPr>
                <w:rFonts w:hint="eastAsia" w:ascii="仿宋" w:hAnsi="仿宋" w:eastAsia="仿宋" w:cs="仿宋"/>
                <w:b w:val="0"/>
                <w:bCs w:val="0"/>
                <w:sz w:val="24"/>
                <w:szCs w:val="24"/>
              </w:rPr>
            </w:pPr>
          </w:p>
        </w:tc>
        <w:tc>
          <w:tcPr>
            <w:tcW w:w="3388" w:type="dxa"/>
            <w:gridSpan w:val="2"/>
            <w:vAlign w:val="center"/>
          </w:tcPr>
          <w:p w14:paraId="57E4769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pH 值（10g/L 水溶液）</w:t>
            </w:r>
          </w:p>
        </w:tc>
        <w:tc>
          <w:tcPr>
            <w:tcW w:w="3377" w:type="dxa"/>
            <w:gridSpan w:val="2"/>
            <w:vAlign w:val="center"/>
          </w:tcPr>
          <w:p w14:paraId="63BBCF7C">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8.6</w:t>
            </w:r>
          </w:p>
        </w:tc>
        <w:tc>
          <w:tcPr>
            <w:tcW w:w="1290" w:type="dxa"/>
            <w:vAlign w:val="center"/>
          </w:tcPr>
          <w:p w14:paraId="574F5ED5">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4265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575" w:type="dxa"/>
            <w:vMerge w:val="continue"/>
            <w:tcBorders>
              <w:top w:val="nil"/>
            </w:tcBorders>
            <w:vAlign w:val="center"/>
          </w:tcPr>
          <w:p w14:paraId="4410E109">
            <w:pPr>
              <w:spacing w:after="0"/>
              <w:jc w:val="center"/>
              <w:rPr>
                <w:rFonts w:hint="eastAsia" w:ascii="仿宋" w:hAnsi="仿宋" w:eastAsia="仿宋" w:cs="仿宋"/>
                <w:b w:val="0"/>
                <w:bCs w:val="0"/>
                <w:sz w:val="24"/>
                <w:szCs w:val="24"/>
              </w:rPr>
            </w:pPr>
          </w:p>
        </w:tc>
        <w:tc>
          <w:tcPr>
            <w:tcW w:w="3388" w:type="dxa"/>
            <w:gridSpan w:val="2"/>
            <w:vAlign w:val="center"/>
          </w:tcPr>
          <w:p w14:paraId="4A29C4E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铵盐（定性）</w:t>
            </w:r>
          </w:p>
        </w:tc>
        <w:tc>
          <w:tcPr>
            <w:tcW w:w="3377" w:type="dxa"/>
            <w:gridSpan w:val="2"/>
            <w:vAlign w:val="center"/>
          </w:tcPr>
          <w:p w14:paraId="0EDED8D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加热至沸腾过程中无氨味释放</w:t>
            </w:r>
          </w:p>
        </w:tc>
        <w:tc>
          <w:tcPr>
            <w:tcW w:w="1290" w:type="dxa"/>
            <w:vAlign w:val="center"/>
          </w:tcPr>
          <w:p w14:paraId="61B2AD6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472D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202795BD">
            <w:pPr>
              <w:spacing w:after="0"/>
              <w:jc w:val="center"/>
              <w:rPr>
                <w:rFonts w:hint="eastAsia" w:ascii="仿宋" w:hAnsi="仿宋" w:eastAsia="仿宋" w:cs="仿宋"/>
                <w:b w:val="0"/>
                <w:bCs w:val="0"/>
                <w:sz w:val="24"/>
                <w:szCs w:val="24"/>
              </w:rPr>
            </w:pPr>
          </w:p>
          <w:p w14:paraId="59B809B1">
            <w:pPr>
              <w:spacing w:after="0"/>
              <w:jc w:val="center"/>
              <w:rPr>
                <w:rFonts w:hint="eastAsia" w:ascii="仿宋" w:hAnsi="仿宋" w:eastAsia="仿宋" w:cs="仿宋"/>
                <w:b w:val="0"/>
                <w:bCs w:val="0"/>
                <w:sz w:val="24"/>
                <w:szCs w:val="24"/>
              </w:rPr>
            </w:pPr>
          </w:p>
          <w:p w14:paraId="744E49CF">
            <w:pPr>
              <w:spacing w:after="0"/>
              <w:jc w:val="center"/>
              <w:rPr>
                <w:rFonts w:hint="eastAsia" w:ascii="仿宋" w:hAnsi="仿宋" w:eastAsia="仿宋" w:cs="仿宋"/>
                <w:b w:val="0"/>
                <w:bCs w:val="0"/>
                <w:sz w:val="24"/>
                <w:szCs w:val="24"/>
              </w:rPr>
            </w:pPr>
          </w:p>
          <w:p w14:paraId="061102B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卫生指标</w:t>
            </w:r>
          </w:p>
        </w:tc>
        <w:tc>
          <w:tcPr>
            <w:tcW w:w="2893" w:type="dxa"/>
            <w:tcBorders>
              <w:right w:val="nil"/>
            </w:tcBorders>
            <w:vAlign w:val="center"/>
          </w:tcPr>
          <w:p w14:paraId="6B7AFC0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砷（mg/kg</w:t>
            </w:r>
            <w:r>
              <w:rPr>
                <w:rFonts w:hint="eastAsia" w:ascii="仿宋" w:hAnsi="仿宋" w:eastAsia="仿宋" w:cs="仿宋"/>
                <w:b w:val="0"/>
                <w:bCs w:val="0"/>
                <w:sz w:val="24"/>
                <w:szCs w:val="24"/>
                <w:lang w:eastAsia="zh-CN"/>
              </w:rPr>
              <w:t>）</w:t>
            </w:r>
          </w:p>
        </w:tc>
        <w:tc>
          <w:tcPr>
            <w:tcW w:w="495" w:type="dxa"/>
            <w:tcBorders>
              <w:left w:val="nil"/>
            </w:tcBorders>
            <w:vAlign w:val="center"/>
          </w:tcPr>
          <w:p w14:paraId="24E381B2">
            <w:pPr>
              <w:spacing w:after="0"/>
              <w:jc w:val="center"/>
              <w:rPr>
                <w:rFonts w:hint="eastAsia" w:ascii="仿宋" w:hAnsi="仿宋" w:eastAsia="仿宋" w:cs="仿宋"/>
                <w:b w:val="0"/>
                <w:bCs w:val="0"/>
                <w:sz w:val="24"/>
                <w:szCs w:val="24"/>
              </w:rPr>
            </w:pPr>
          </w:p>
        </w:tc>
        <w:tc>
          <w:tcPr>
            <w:tcW w:w="3377" w:type="dxa"/>
            <w:gridSpan w:val="2"/>
            <w:vAlign w:val="center"/>
          </w:tcPr>
          <w:p w14:paraId="07FFD07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1290" w:type="dxa"/>
            <w:vAlign w:val="center"/>
          </w:tcPr>
          <w:p w14:paraId="06F06B7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4D890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105383F0">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2826BE10">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铅（mg/kg</w:t>
            </w:r>
            <w:r>
              <w:rPr>
                <w:rFonts w:hint="eastAsia" w:ascii="仿宋" w:hAnsi="仿宋" w:eastAsia="仿宋" w:cs="仿宋"/>
                <w:b w:val="0"/>
                <w:bCs w:val="0"/>
                <w:sz w:val="24"/>
                <w:szCs w:val="24"/>
                <w:lang w:eastAsia="zh-CN"/>
              </w:rPr>
              <w:t>）</w:t>
            </w:r>
          </w:p>
        </w:tc>
        <w:tc>
          <w:tcPr>
            <w:tcW w:w="495" w:type="dxa"/>
            <w:tcBorders>
              <w:left w:val="nil"/>
            </w:tcBorders>
            <w:vAlign w:val="center"/>
          </w:tcPr>
          <w:p w14:paraId="1149DEED">
            <w:pPr>
              <w:spacing w:after="0"/>
              <w:jc w:val="center"/>
              <w:rPr>
                <w:rFonts w:hint="eastAsia" w:ascii="仿宋" w:hAnsi="仿宋" w:eastAsia="仿宋" w:cs="仿宋"/>
                <w:b w:val="0"/>
                <w:bCs w:val="0"/>
                <w:sz w:val="24"/>
                <w:szCs w:val="24"/>
              </w:rPr>
            </w:pPr>
          </w:p>
        </w:tc>
        <w:tc>
          <w:tcPr>
            <w:tcW w:w="3377" w:type="dxa"/>
            <w:gridSpan w:val="2"/>
            <w:vAlign w:val="center"/>
          </w:tcPr>
          <w:p w14:paraId="7EB948A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≤5.0</w:t>
            </w:r>
          </w:p>
        </w:tc>
        <w:tc>
          <w:tcPr>
            <w:tcW w:w="1290" w:type="dxa"/>
            <w:vAlign w:val="center"/>
          </w:tcPr>
          <w:p w14:paraId="56B8828F">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1BA06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689B40FF">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7030942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铬（mg/kg</w:t>
            </w:r>
            <w:r>
              <w:rPr>
                <w:rFonts w:hint="eastAsia" w:ascii="仿宋" w:hAnsi="仿宋" w:eastAsia="仿宋" w:cs="仿宋"/>
                <w:b w:val="0"/>
                <w:bCs w:val="0"/>
                <w:sz w:val="24"/>
                <w:szCs w:val="24"/>
                <w:lang w:eastAsia="zh-CN"/>
              </w:rPr>
              <w:t>）</w:t>
            </w:r>
          </w:p>
        </w:tc>
        <w:tc>
          <w:tcPr>
            <w:tcW w:w="495" w:type="dxa"/>
            <w:tcBorders>
              <w:left w:val="nil"/>
            </w:tcBorders>
            <w:vAlign w:val="center"/>
          </w:tcPr>
          <w:p w14:paraId="68410FBB">
            <w:pPr>
              <w:spacing w:after="0"/>
              <w:jc w:val="center"/>
              <w:rPr>
                <w:rFonts w:hint="eastAsia" w:ascii="仿宋" w:hAnsi="仿宋" w:eastAsia="仿宋" w:cs="仿宋"/>
                <w:b w:val="0"/>
                <w:bCs w:val="0"/>
                <w:sz w:val="24"/>
                <w:szCs w:val="24"/>
              </w:rPr>
            </w:pPr>
          </w:p>
        </w:tc>
        <w:tc>
          <w:tcPr>
            <w:tcW w:w="3377" w:type="dxa"/>
            <w:gridSpan w:val="2"/>
            <w:vAlign w:val="center"/>
          </w:tcPr>
          <w:p w14:paraId="79E7171B">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≤2.0</w:t>
            </w:r>
          </w:p>
        </w:tc>
        <w:tc>
          <w:tcPr>
            <w:tcW w:w="1290" w:type="dxa"/>
            <w:vAlign w:val="center"/>
          </w:tcPr>
          <w:p w14:paraId="4F05F0E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0197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739B2391">
            <w:pPr>
              <w:spacing w:after="0"/>
              <w:jc w:val="center"/>
              <w:rPr>
                <w:rFonts w:hint="eastAsia" w:ascii="仿宋" w:hAnsi="仿宋" w:eastAsia="仿宋" w:cs="仿宋"/>
                <w:b w:val="0"/>
                <w:bCs w:val="0"/>
                <w:sz w:val="24"/>
                <w:szCs w:val="24"/>
              </w:rPr>
            </w:pPr>
          </w:p>
        </w:tc>
        <w:tc>
          <w:tcPr>
            <w:tcW w:w="8055" w:type="dxa"/>
            <w:gridSpan w:val="5"/>
            <w:vAlign w:val="center"/>
          </w:tcPr>
          <w:p w14:paraId="516081F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其他卫生指标执行 GB13078-2017 规定标准</w:t>
            </w:r>
          </w:p>
        </w:tc>
      </w:tr>
      <w:tr w14:paraId="5D18B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630" w:type="dxa"/>
            <w:gridSpan w:val="6"/>
            <w:vAlign w:val="center"/>
          </w:tcPr>
          <w:p w14:paraId="05420E8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注：1、粒度、卫生指标不合格，产品到货结块，拒收处置。</w:t>
            </w:r>
          </w:p>
        </w:tc>
      </w:tr>
    </w:tbl>
    <w:p w14:paraId="66614788">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p>
    <w:p w14:paraId="0EE97F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3、标签标识</w:t>
      </w:r>
    </w:p>
    <w:p w14:paraId="47F9FD3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标签标识符合 GB10648-2013中相关要求。</w:t>
      </w:r>
    </w:p>
    <w:p w14:paraId="51B9692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4、包装、储存、运输</w:t>
      </w:r>
    </w:p>
    <w:p w14:paraId="60D271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执行 GB7300.801-2019中相关规定。</w:t>
      </w:r>
    </w:p>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710BAD"/>
    <w:rsid w:val="175214DB"/>
    <w:rsid w:val="1CC45546"/>
    <w:rsid w:val="1DCC22E0"/>
    <w:rsid w:val="1F135B57"/>
    <w:rsid w:val="20C560FB"/>
    <w:rsid w:val="22887589"/>
    <w:rsid w:val="24A019E5"/>
    <w:rsid w:val="2A441B0B"/>
    <w:rsid w:val="321E4159"/>
    <w:rsid w:val="3434782F"/>
    <w:rsid w:val="385C0B47"/>
    <w:rsid w:val="3E746B53"/>
    <w:rsid w:val="40081B38"/>
    <w:rsid w:val="40C655EA"/>
    <w:rsid w:val="43881600"/>
    <w:rsid w:val="4445400D"/>
    <w:rsid w:val="458C28C6"/>
    <w:rsid w:val="47D91028"/>
    <w:rsid w:val="4E864704"/>
    <w:rsid w:val="53252A3D"/>
    <w:rsid w:val="54DF338E"/>
    <w:rsid w:val="5767239A"/>
    <w:rsid w:val="59270DD1"/>
    <w:rsid w:val="5E711347"/>
    <w:rsid w:val="5E9577E4"/>
    <w:rsid w:val="631725C7"/>
    <w:rsid w:val="69D7130C"/>
    <w:rsid w:val="6B6D4056"/>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1955</Words>
  <Characters>2177</Characters>
  <TotalTime>2</TotalTime>
  <ScaleCrop>false</ScaleCrop>
  <LinksUpToDate>false</LinksUpToDate>
  <CharactersWithSpaces>3190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2025-09-10T02:11:21Z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